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11" w:afterLines="50" w:line="560" w:lineRule="exact"/>
        <w:ind w:firstLine="0" w:firstLineChars="0"/>
        <w:rPr>
          <w:rFonts w:eastAsia="黑体" w:cs="Times New Roman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eastAsia="黑体" w:cs="Times New Roman"/>
          <w:sz w:val="32"/>
          <w:szCs w:val="32"/>
        </w:rPr>
        <w:t>3</w:t>
      </w:r>
    </w:p>
    <w:p>
      <w:pPr>
        <w:spacing w:after="423" w:afterLines="100" w:line="560" w:lineRule="exact"/>
        <w:ind w:firstLine="0" w:firstLineChars="0"/>
        <w:jc w:val="center"/>
        <w:rPr>
          <w:rFonts w:ascii="方正小标宋简体" w:eastAsia="方正小标宋简体" w:cs="Times New Roman"/>
          <w:sz w:val="44"/>
          <w:szCs w:val="44"/>
        </w:rPr>
      </w:pPr>
      <w:bookmarkStart w:id="0" w:name="_GoBack"/>
      <w:r>
        <w:rPr>
          <w:rFonts w:hint="eastAsia" w:ascii="方正小标宋简体" w:eastAsia="方正小标宋简体" w:cs="Times New Roman"/>
          <w:sz w:val="44"/>
          <w:szCs w:val="44"/>
        </w:rPr>
        <w:t>高校实验室分类参照表</w:t>
      </w:r>
    </w:p>
    <w:bookmarkEnd w:id="0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701"/>
        <w:gridCol w:w="115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</w:trPr>
        <w:tc>
          <w:tcPr>
            <w:tcW w:w="704" w:type="dxa"/>
          </w:tcPr>
          <w:p>
            <w:pPr>
              <w:spacing w:line="400" w:lineRule="exact"/>
              <w:ind w:firstLine="0" w:firstLineChars="0"/>
              <w:jc w:val="center"/>
              <w:rPr>
                <w:rFonts w:eastAsia="黑体" w:cs="Times New Roman"/>
                <w:szCs w:val="24"/>
              </w:rPr>
            </w:pPr>
            <w:r>
              <w:rPr>
                <w:rFonts w:eastAsia="黑体" w:cs="Times New Roman"/>
                <w:szCs w:val="24"/>
              </w:rPr>
              <w:t>序号</w:t>
            </w:r>
          </w:p>
        </w:tc>
        <w:tc>
          <w:tcPr>
            <w:tcW w:w="1701" w:type="dxa"/>
          </w:tcPr>
          <w:p>
            <w:pPr>
              <w:spacing w:line="400" w:lineRule="exact"/>
              <w:ind w:firstLine="0" w:firstLineChars="0"/>
              <w:jc w:val="center"/>
              <w:rPr>
                <w:rFonts w:eastAsia="黑体" w:cs="Times New Roman"/>
                <w:szCs w:val="24"/>
              </w:rPr>
            </w:pPr>
            <w:r>
              <w:rPr>
                <w:rFonts w:eastAsia="黑体" w:cs="Times New Roman"/>
                <w:szCs w:val="24"/>
              </w:rPr>
              <w:t>实验室分类</w:t>
            </w:r>
          </w:p>
        </w:tc>
        <w:tc>
          <w:tcPr>
            <w:tcW w:w="11560" w:type="dxa"/>
          </w:tcPr>
          <w:p>
            <w:pPr>
              <w:spacing w:line="400" w:lineRule="exact"/>
              <w:ind w:firstLine="0" w:firstLineChars="0"/>
              <w:jc w:val="center"/>
              <w:rPr>
                <w:rFonts w:eastAsia="黑体" w:cs="Times New Roman"/>
                <w:szCs w:val="24"/>
              </w:rPr>
            </w:pPr>
            <w:r>
              <w:rPr>
                <w:rFonts w:eastAsia="黑体" w:cs="Times New Roman"/>
                <w:szCs w:val="24"/>
              </w:rPr>
              <w:t>分类参照依据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4" w:hRule="atLeast"/>
        </w:trPr>
        <w:tc>
          <w:tcPr>
            <w:tcW w:w="704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楷体" w:hAnsi="楷体" w:eastAsia="楷体" w:cs="楷体"/>
                <w:szCs w:val="24"/>
              </w:rPr>
            </w:pPr>
            <w:r>
              <w:rPr>
                <w:rFonts w:hint="eastAsia" w:ascii="楷体" w:hAnsi="楷体" w:eastAsia="楷体" w:cs="楷体"/>
                <w:szCs w:val="24"/>
              </w:rPr>
              <w:t>化学类实验室</w:t>
            </w:r>
          </w:p>
        </w:tc>
        <w:tc>
          <w:tcPr>
            <w:tcW w:w="11560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包括从事化学、药学、化学工程、环境科学与工程、材料科学与工程等较多涉及化学试剂或化学反应的实验室。这类实验中的危险源分为两类，一类是易燃、易爆、有毒化学品（含实验气体）可能带来的化学性危险源，另一类是设备设施缺陷和防护缺陷所带来的物理性危险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0" w:hRule="atLeast"/>
        </w:trPr>
        <w:tc>
          <w:tcPr>
            <w:tcW w:w="704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楷体" w:hAnsi="楷体" w:eastAsia="楷体" w:cs="楷体"/>
                <w:szCs w:val="24"/>
              </w:rPr>
            </w:pPr>
            <w:r>
              <w:rPr>
                <w:rFonts w:hint="eastAsia" w:ascii="楷体" w:hAnsi="楷体" w:eastAsia="楷体" w:cs="楷体"/>
                <w:szCs w:val="24"/>
              </w:rPr>
              <w:t>生物类实验室</w:t>
            </w:r>
          </w:p>
        </w:tc>
        <w:tc>
          <w:tcPr>
            <w:tcW w:w="11560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包括从事基因工程、微生物学等生物和医学专业中较多涉及病毒、细菌、真菌等微生物研究和动物研究的实验室。这类实验室中细菌、病毒、真菌、寄生虫、动物寄生微生物等为主要危险源，它们的释放、扩散可能会污染实验室内外环境的空气、水、物体表面或感染人体。涉及病原微生物的实验室应进行相应的审批或备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</w:trPr>
        <w:tc>
          <w:tcPr>
            <w:tcW w:w="704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楷体" w:hAnsi="楷体" w:eastAsia="楷体" w:cs="楷体"/>
                <w:szCs w:val="24"/>
              </w:rPr>
            </w:pPr>
            <w:r>
              <w:rPr>
                <w:rFonts w:hint="eastAsia" w:ascii="楷体" w:hAnsi="楷体" w:eastAsia="楷体" w:cs="楷体"/>
                <w:szCs w:val="24"/>
              </w:rPr>
              <w:t>辐射类实验室</w:t>
            </w:r>
          </w:p>
        </w:tc>
        <w:tc>
          <w:tcPr>
            <w:tcW w:w="11560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包括物理、核科学与技术、医学、生物、化学</w:t>
            </w:r>
            <w:r>
              <w:rPr>
                <w:rFonts w:hint="eastAsia" w:eastAsia="仿宋_GB2312" w:cs="Times New Roman"/>
                <w:szCs w:val="24"/>
              </w:rPr>
              <w:t>、</w:t>
            </w:r>
            <w:r>
              <w:rPr>
                <w:rFonts w:eastAsia="仿宋_GB2312" w:cs="Times New Roman"/>
                <w:szCs w:val="24"/>
              </w:rPr>
              <w:t>材料科学与工程等专业方向中涉及放射性同位素、射线装置与核材料的实验室。这类实验中的危险源主要是放射性同位素、射线装置与核材料产生的电离辐射，可能对人体造成内外照射伤害，也可能对环境产生放射性污染；存放或使用核材料的实验室还存在核安全风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</w:trPr>
        <w:tc>
          <w:tcPr>
            <w:tcW w:w="704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楷体" w:hAnsi="楷体" w:eastAsia="楷体" w:cs="楷体"/>
                <w:szCs w:val="24"/>
              </w:rPr>
            </w:pPr>
            <w:r>
              <w:rPr>
                <w:rFonts w:hint="eastAsia" w:ascii="楷体" w:hAnsi="楷体" w:eastAsia="楷体" w:cs="楷体"/>
                <w:szCs w:val="24"/>
              </w:rPr>
              <w:t>机电类实验室</w:t>
            </w:r>
          </w:p>
        </w:tc>
        <w:tc>
          <w:tcPr>
            <w:tcW w:w="11560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包括机械设计与制造、过程装备与控制、化工机械、材料物理、电气工程、激光工程和人工智能等专业方向中涉及高温、高压、高速、高大等机械设备及其他强电、强磁、激光或低温设备的实验室，以及大型机房等。这类实验室的主要危险包括夹击、碰撞、剪切、卷入、绞、碾、割、刺等形式的机械伤害以及灼伤、电路短路、人员触电、激光伤害、冻伤等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704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>
            <w:pPr>
              <w:spacing w:line="400" w:lineRule="exact"/>
              <w:ind w:firstLine="0" w:firstLineChars="0"/>
              <w:jc w:val="center"/>
              <w:rPr>
                <w:rFonts w:ascii="楷体" w:hAnsi="楷体" w:eastAsia="楷体" w:cs="楷体"/>
                <w:szCs w:val="24"/>
              </w:rPr>
            </w:pPr>
            <w:r>
              <w:rPr>
                <w:rFonts w:hint="eastAsia" w:ascii="楷体" w:hAnsi="楷体" w:eastAsia="楷体" w:cs="楷体"/>
                <w:szCs w:val="24"/>
              </w:rPr>
              <w:t>其他类实验室</w:t>
            </w:r>
          </w:p>
        </w:tc>
        <w:tc>
          <w:tcPr>
            <w:tcW w:w="11560" w:type="dxa"/>
            <w:vAlign w:val="center"/>
          </w:tcPr>
          <w:p>
            <w:pPr>
              <w:spacing w:line="400" w:lineRule="exact"/>
              <w:ind w:firstLine="0" w:firstLineChars="0"/>
              <w:rPr>
                <w:rFonts w:eastAsia="仿宋_GB2312" w:cs="Times New Roman"/>
                <w:szCs w:val="24"/>
              </w:rPr>
            </w:pPr>
            <w:r>
              <w:rPr>
                <w:rFonts w:eastAsia="仿宋_GB2312" w:cs="Times New Roman"/>
                <w:szCs w:val="24"/>
              </w:rPr>
              <w:t>包括社科类、艺术类专业相关的实验室或实训室，危险源主要是少量的用电设备可能带来的用电安全</w:t>
            </w:r>
            <w:r>
              <w:rPr>
                <w:rFonts w:hint="eastAsia" w:eastAsia="仿宋_GB2312" w:cs="Times New Roman"/>
                <w:szCs w:val="24"/>
              </w:rPr>
              <w:t>或消防安全</w:t>
            </w:r>
            <w:r>
              <w:rPr>
                <w:rFonts w:eastAsia="仿宋_GB2312" w:cs="Times New Roman"/>
                <w:szCs w:val="24"/>
              </w:rPr>
              <w:t>风险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jYmI4Yzk1NDg1MWVhNTBkZjdhM2QwOTNhYzY5ZmYifQ=="/>
  </w:docVars>
  <w:rsids>
    <w:rsidRoot w:val="52177730"/>
    <w:rsid w:val="5217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Times New Roman" w:hAnsi="Times New Roman" w:eastAsia="仿宋" w:cstheme="minorBidi"/>
      <w:kern w:val="2"/>
      <w:sz w:val="24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2024-04-30T01:03:00Z</dcterms:created>
  <dc:creator>孙梦茹</dc:creator>
  <cp:lastModifiedBy>孙梦茹</cp:lastModifiedBy>
  <dcterms:modified xsi:type="dcterms:W3CDTF">2024-04-30T01:04:24Z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2052-12.1.0.16894</vt:lpwstr>
  </property>
  <property fmtid="{D5CDD505-2E9C-101B-9397-08002B2CF9AE}" pid="3" name="ICV">
    <vt:lpwstr>E442E4CA293D4AA38F8773EEE6E60C09_11</vt:lpwstr>
  </property>
</Properties>
</file>